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STELLA MARIS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 una vela en compañía,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 una sombra y es la mía.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Triste eres tú soledad;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lloro: ¿mi Dios dónde estás?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¿De quién soy si no soy tuyo?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¡No me dejes, no, Dios mío!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 la noche que vendrá.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María, Tú sabes cuánto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mi sed de amor, un llanto.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“Ningún hombre nunca habrá,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podrá tu sed apagar.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mi Hijo te daré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 sólo basta: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/como un mar te inundará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perderte en Él podrás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siempre”/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. (2v)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Cambia el mundo y cambio yo,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pasan días y paso yo;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 mi amor, el más querido,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también esto pasará.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Yo por ti, mi Dios, madrugo;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luz que pasa las tinieblas,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mi infinita sed de ti.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Girasol al sol que gira,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su calor que todo abriga,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pues descansa en los trigales,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enrojece entre las nubes.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De esta luz se sacia el alma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y me invade, mi Señor,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la nostalgia de tu amor.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JXu2SFpF3GrUf9REdCJHCGsynw==">CgMxLjA4AHIhMXh1QVlYQ0FLSi1BSjNSX2NUU1NKRWJmclI5V0xwdnJ5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